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3D29D" w14:textId="320D35F5" w:rsidR="00FC6892" w:rsidRPr="006A311B" w:rsidRDefault="00FC6892" w:rsidP="00C45CA3">
      <w:pPr>
        <w:spacing w:before="100" w:beforeAutospacing="1" w:after="100" w:afterAutospacing="1"/>
        <w:ind w:left="426" w:hanging="474"/>
        <w:jc w:val="center"/>
        <w:rPr>
          <w:rFonts w:ascii="Calibri" w:hAnsi="Calibri" w:cs="Arial"/>
          <w:b/>
          <w:sz w:val="22"/>
          <w:szCs w:val="22"/>
        </w:rPr>
      </w:pPr>
      <w:r w:rsidRPr="006A311B">
        <w:rPr>
          <w:rFonts w:ascii="Calibri" w:hAnsi="Calibri" w:cs="Arial"/>
          <w:b/>
          <w:sz w:val="22"/>
          <w:szCs w:val="22"/>
        </w:rPr>
        <w:t xml:space="preserve">Roles and remit for </w:t>
      </w:r>
      <w:r w:rsidR="00E35B82">
        <w:rPr>
          <w:rFonts w:ascii="Calibri" w:hAnsi="Calibri" w:cs="Arial"/>
          <w:b/>
          <w:sz w:val="22"/>
          <w:szCs w:val="22"/>
        </w:rPr>
        <w:t>TEC Partnership</w:t>
      </w:r>
      <w:r w:rsidRPr="006A311B">
        <w:rPr>
          <w:rFonts w:ascii="Calibri" w:hAnsi="Calibri" w:cs="Arial"/>
          <w:b/>
          <w:sz w:val="22"/>
          <w:szCs w:val="22"/>
        </w:rPr>
        <w:t xml:space="preserve"> External Examining </w:t>
      </w:r>
      <w:r>
        <w:rPr>
          <w:rFonts w:ascii="Calibri" w:hAnsi="Calibri" w:cs="Arial"/>
          <w:b/>
          <w:sz w:val="22"/>
          <w:szCs w:val="22"/>
        </w:rPr>
        <w:t>P</w:t>
      </w:r>
      <w:r w:rsidRPr="006A311B">
        <w:rPr>
          <w:rFonts w:ascii="Calibri" w:hAnsi="Calibri" w:cs="Arial"/>
          <w:b/>
          <w:sz w:val="22"/>
          <w:szCs w:val="22"/>
        </w:rPr>
        <w:t>rocesses</w:t>
      </w:r>
      <w:bookmarkStart w:id="0" w:name="_GoBack"/>
      <w:bookmarkEnd w:id="0"/>
    </w:p>
    <w:p w14:paraId="4C23A4BB" w14:textId="77777777" w:rsidR="00FC6892" w:rsidRPr="006A311B" w:rsidRDefault="00FC6892" w:rsidP="00C45CA3">
      <w:pPr>
        <w:spacing w:before="100" w:beforeAutospacing="1" w:after="100" w:afterAutospacing="1"/>
        <w:ind w:left="426" w:hanging="474"/>
        <w:jc w:val="both"/>
        <w:rPr>
          <w:rFonts w:ascii="Calibri" w:hAnsi="Calibri" w:cs="Arial"/>
          <w:b/>
          <w:i/>
          <w:sz w:val="22"/>
          <w:szCs w:val="22"/>
        </w:rPr>
      </w:pPr>
      <w:r w:rsidRPr="006A311B">
        <w:rPr>
          <w:rFonts w:ascii="Calibri" w:hAnsi="Calibri" w:cs="Arial"/>
          <w:b/>
          <w:i/>
          <w:sz w:val="22"/>
          <w:szCs w:val="22"/>
        </w:rPr>
        <w:t>External Examiner Role and Responsibilities</w:t>
      </w:r>
      <w:r>
        <w:rPr>
          <w:rFonts w:ascii="Calibri" w:hAnsi="Calibri" w:cs="Arial"/>
          <w:b/>
          <w:i/>
          <w:sz w:val="22"/>
          <w:szCs w:val="22"/>
        </w:rPr>
        <w:t xml:space="preserve">; </w:t>
      </w:r>
      <w:r>
        <w:rPr>
          <w:rFonts w:ascii="Calibri" w:hAnsi="Calibri" w:cs="Arial"/>
          <w:i/>
          <w:sz w:val="22"/>
          <w:szCs w:val="22"/>
        </w:rPr>
        <w:t>E</w:t>
      </w:r>
      <w:r w:rsidRPr="00E40AED">
        <w:rPr>
          <w:rFonts w:ascii="Calibri" w:hAnsi="Calibri" w:cs="Arial"/>
          <w:i/>
          <w:sz w:val="22"/>
          <w:szCs w:val="22"/>
        </w:rPr>
        <w:t xml:space="preserve">xternal </w:t>
      </w:r>
      <w:r>
        <w:rPr>
          <w:rFonts w:ascii="Calibri" w:hAnsi="Calibri" w:cs="Arial"/>
          <w:i/>
          <w:sz w:val="22"/>
          <w:szCs w:val="22"/>
        </w:rPr>
        <w:t>E</w:t>
      </w:r>
      <w:r w:rsidRPr="00E40AED">
        <w:rPr>
          <w:rFonts w:ascii="Calibri" w:hAnsi="Calibri" w:cs="Arial"/>
          <w:i/>
          <w:sz w:val="22"/>
          <w:szCs w:val="22"/>
        </w:rPr>
        <w:t>xaminers will</w:t>
      </w:r>
    </w:p>
    <w:p w14:paraId="0E736FA8" w14:textId="3FDBD391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BF5BA1">
        <w:rPr>
          <w:rFonts w:ascii="Calibri" w:hAnsi="Calibri" w:cs="Arial"/>
          <w:sz w:val="22"/>
          <w:szCs w:val="22"/>
        </w:rPr>
        <w:t xml:space="preserve">ake an effective contribution to safeguarding academic standards through </w:t>
      </w:r>
      <w:r w:rsidRPr="00BF5BA1">
        <w:rPr>
          <w:rFonts w:ascii="Calibri" w:hAnsi="Calibri" w:cs="Palatino-Roman"/>
          <w:sz w:val="22"/>
          <w:szCs w:val="22"/>
        </w:rPr>
        <w:t>academic and, where appropriate, other professional judgements in relation to the relevant subject area and assessment</w:t>
      </w:r>
      <w:r>
        <w:rPr>
          <w:rFonts w:ascii="Calibri" w:hAnsi="Calibri" w:cs="Palatino-Roman"/>
          <w:sz w:val="22"/>
          <w:szCs w:val="22"/>
        </w:rPr>
        <w:t>;</w:t>
      </w:r>
    </w:p>
    <w:p w14:paraId="7D8F2BB6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M</w:t>
      </w:r>
      <w:r w:rsidRPr="00BF5BA1">
        <w:rPr>
          <w:rFonts w:ascii="Calibri" w:hAnsi="Calibri" w:cs="Palatino-Roman"/>
          <w:sz w:val="22"/>
          <w:szCs w:val="22"/>
        </w:rPr>
        <w:t>ake an effective contribution to the efficiency and sustainability of the assessment process and to provide objective advice on assessment and related procedures;</w:t>
      </w:r>
    </w:p>
    <w:p w14:paraId="788CE158" w14:textId="77777777" w:rsidR="00FC6892" w:rsidRPr="006A311B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StoneSans-Semibold"/>
          <w:bCs/>
          <w:sz w:val="22"/>
          <w:szCs w:val="22"/>
        </w:rPr>
        <w:t>S</w:t>
      </w:r>
      <w:r w:rsidRPr="00BF5BA1">
        <w:rPr>
          <w:rFonts w:ascii="Calibri" w:hAnsi="Calibri" w:cs="StoneSans-Semibold"/>
          <w:bCs/>
          <w:sz w:val="22"/>
          <w:szCs w:val="22"/>
        </w:rPr>
        <w:t>crutinise assessment, endorse assessment outcomes and where possible confirm the standards demonstrated by students in relation to students on other  comparable programmes</w:t>
      </w:r>
      <w:r w:rsidRPr="00BF5BA1">
        <w:rPr>
          <w:rFonts w:ascii="Calibri" w:hAnsi="Calibri" w:cs="Palatino-Roman"/>
          <w:sz w:val="22"/>
          <w:szCs w:val="22"/>
        </w:rPr>
        <w:t xml:space="preserve"> </w:t>
      </w:r>
      <w:r>
        <w:rPr>
          <w:rFonts w:ascii="Calibri" w:hAnsi="Calibri" w:cs="Palatino-Roman"/>
          <w:sz w:val="22"/>
          <w:szCs w:val="22"/>
        </w:rPr>
        <w:t>;</w:t>
      </w:r>
    </w:p>
    <w:p w14:paraId="4FADF377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 xml:space="preserve">Confirm </w:t>
      </w:r>
      <w:r w:rsidRPr="00BF5BA1">
        <w:rPr>
          <w:rFonts w:ascii="Calibri" w:hAnsi="Calibri" w:cs="Palatino-Roman"/>
          <w:sz w:val="22"/>
          <w:szCs w:val="22"/>
        </w:rPr>
        <w:t>whether sufficient access to the material needed to</w:t>
      </w:r>
      <w:r w:rsidRPr="00BF5BA1">
        <w:rPr>
          <w:rFonts w:ascii="Calibri" w:hAnsi="Calibri" w:cs="Arial"/>
          <w:sz w:val="22"/>
          <w:szCs w:val="22"/>
        </w:rPr>
        <w:t xml:space="preserve"> </w:t>
      </w:r>
      <w:r w:rsidRPr="00BF5BA1">
        <w:rPr>
          <w:rFonts w:ascii="Calibri" w:hAnsi="Calibri" w:cs="Palatino-Roman"/>
          <w:sz w:val="22"/>
          <w:szCs w:val="22"/>
        </w:rPr>
        <w:t xml:space="preserve">make the required judgements </w:t>
      </w:r>
      <w:r>
        <w:rPr>
          <w:rFonts w:ascii="Calibri" w:hAnsi="Calibri" w:cs="Palatino-Roman"/>
          <w:sz w:val="22"/>
          <w:szCs w:val="22"/>
        </w:rPr>
        <w:t>has been made available;</w:t>
      </w:r>
    </w:p>
    <w:p w14:paraId="5F61F7DE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Palatino-Roman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C</w:t>
      </w:r>
      <w:r w:rsidRPr="00BF5BA1">
        <w:rPr>
          <w:rFonts w:ascii="Calibri" w:hAnsi="Calibri" w:cs="Palatino-Roman"/>
          <w:sz w:val="22"/>
          <w:szCs w:val="22"/>
        </w:rPr>
        <w:t>omment upon the quality of teaching, learning and assessment methods that may be indicated by student performance;</w:t>
      </w:r>
    </w:p>
    <w:p w14:paraId="4C6EDF1B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C</w:t>
      </w:r>
      <w:r w:rsidRPr="00BF5BA1">
        <w:rPr>
          <w:rFonts w:ascii="Calibri" w:hAnsi="Calibri" w:cs="Palatino-Roman"/>
          <w:sz w:val="22"/>
          <w:szCs w:val="22"/>
        </w:rPr>
        <w:t>omment upon the strengths and weaknesses of the students as a cohort;</w:t>
      </w:r>
    </w:p>
    <w:p w14:paraId="5471F862" w14:textId="77777777" w:rsidR="00FC6892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sz w:val="22"/>
          <w:szCs w:val="22"/>
        </w:rPr>
      </w:pPr>
      <w:r w:rsidRPr="00BF5BA1">
        <w:rPr>
          <w:rFonts w:ascii="Calibri" w:hAnsi="Calibri" w:cs="Arial"/>
          <w:sz w:val="22"/>
          <w:szCs w:val="22"/>
        </w:rPr>
        <w:t>attend boards of examiners and provide a detailed written report of the outcomes of external examining activity</w:t>
      </w:r>
      <w:r>
        <w:rPr>
          <w:rFonts w:ascii="Calibri" w:hAnsi="Calibri" w:cs="Arial"/>
          <w:sz w:val="22"/>
          <w:szCs w:val="22"/>
        </w:rPr>
        <w:t>;</w:t>
      </w:r>
    </w:p>
    <w:p w14:paraId="33529ED2" w14:textId="77777777" w:rsidR="00FC6892" w:rsidRPr="00E40AED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</w:t>
      </w:r>
      <w:r w:rsidRPr="00BF5BA1">
        <w:rPr>
          <w:rFonts w:ascii="Calibri" w:hAnsi="Calibri" w:cs="Arial"/>
          <w:sz w:val="22"/>
          <w:szCs w:val="22"/>
        </w:rPr>
        <w:t xml:space="preserve">here in </w:t>
      </w:r>
      <w:r>
        <w:rPr>
          <w:rFonts w:ascii="Calibri" w:hAnsi="Calibri" w:cs="Arial"/>
          <w:sz w:val="22"/>
          <w:szCs w:val="22"/>
        </w:rPr>
        <w:t>exceptional</w:t>
      </w:r>
      <w:r w:rsidRPr="00BF5BA1">
        <w:rPr>
          <w:rFonts w:ascii="Calibri" w:hAnsi="Calibri" w:cs="Arial"/>
          <w:sz w:val="22"/>
          <w:szCs w:val="22"/>
        </w:rPr>
        <w:t xml:space="preserve"> circumstances attendance at the board </w:t>
      </w:r>
      <w:r>
        <w:rPr>
          <w:rFonts w:ascii="Calibri" w:hAnsi="Calibri" w:cs="Arial"/>
          <w:sz w:val="22"/>
          <w:szCs w:val="22"/>
        </w:rPr>
        <w:t xml:space="preserve">of examiners </w:t>
      </w:r>
      <w:r w:rsidRPr="00BF5BA1">
        <w:rPr>
          <w:rFonts w:ascii="Calibri" w:hAnsi="Calibri" w:cs="Arial"/>
          <w:sz w:val="22"/>
          <w:szCs w:val="22"/>
        </w:rPr>
        <w:t>is not practicable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s</w:t>
      </w:r>
      <w:r w:rsidRPr="00E40AED">
        <w:rPr>
          <w:rFonts w:ascii="Calibri" w:hAnsi="Calibri" w:cs="Arial"/>
          <w:bCs/>
          <w:sz w:val="22"/>
          <w:szCs w:val="22"/>
        </w:rPr>
        <w:t xml:space="preserve">ubmit a </w:t>
      </w:r>
      <w:r>
        <w:rPr>
          <w:rFonts w:ascii="Calibri" w:hAnsi="Calibri" w:cs="Arial"/>
          <w:bCs/>
          <w:sz w:val="22"/>
          <w:szCs w:val="22"/>
        </w:rPr>
        <w:t>written</w:t>
      </w:r>
      <w:r w:rsidRPr="00E40AED">
        <w:rPr>
          <w:rFonts w:ascii="Calibri" w:hAnsi="Calibri" w:cs="Arial"/>
          <w:bCs/>
          <w:sz w:val="22"/>
          <w:szCs w:val="22"/>
        </w:rPr>
        <w:t xml:space="preserve"> report that provides comments and judgements on the assessment process and the standards of student attainment</w:t>
      </w:r>
      <w:r>
        <w:rPr>
          <w:rFonts w:ascii="Calibri" w:hAnsi="Calibri" w:cs="Arial"/>
          <w:bCs/>
          <w:sz w:val="22"/>
          <w:szCs w:val="22"/>
        </w:rPr>
        <w:t>;</w:t>
      </w:r>
    </w:p>
    <w:p w14:paraId="03A3A241" w14:textId="77777777" w:rsidR="00FC6892" w:rsidRPr="00BF5BA1" w:rsidRDefault="00FC6892" w:rsidP="00C45CA3">
      <w:pPr>
        <w:numPr>
          <w:ilvl w:val="0"/>
          <w:numId w:val="1"/>
        </w:numPr>
        <w:tabs>
          <w:tab w:val="clear" w:pos="1080"/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Palatino-Roman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Pr="00BF5BA1">
        <w:rPr>
          <w:rFonts w:ascii="Calibri" w:hAnsi="Calibri" w:cs="Arial"/>
          <w:sz w:val="22"/>
          <w:szCs w:val="22"/>
        </w:rPr>
        <w:t xml:space="preserve">omment upon </w:t>
      </w:r>
      <w:r w:rsidRPr="00BF5BA1">
        <w:rPr>
          <w:rFonts w:ascii="Calibri" w:hAnsi="Calibri" w:cs="Palatino-Roman"/>
          <w:sz w:val="22"/>
          <w:szCs w:val="22"/>
        </w:rPr>
        <w:t xml:space="preserve">the extent to which the external examiner's comments in his/her previous </w:t>
      </w:r>
      <w:r>
        <w:rPr>
          <w:rFonts w:ascii="Calibri" w:hAnsi="Calibri" w:cs="Palatino-Roman"/>
          <w:sz w:val="22"/>
          <w:szCs w:val="22"/>
        </w:rPr>
        <w:t xml:space="preserve">report </w:t>
      </w:r>
      <w:r w:rsidRPr="00BF5BA1">
        <w:rPr>
          <w:rFonts w:ascii="Calibri" w:hAnsi="Calibri" w:cs="Palatino-Roman"/>
          <w:sz w:val="22"/>
          <w:szCs w:val="22"/>
        </w:rPr>
        <w:t>have been considered and appropriately acted upon</w:t>
      </w:r>
    </w:p>
    <w:p w14:paraId="3794416D" w14:textId="44654E84" w:rsidR="00FC6892" w:rsidRPr="00E40AED" w:rsidRDefault="00FC6892" w:rsidP="00C45CA3">
      <w:pPr>
        <w:tabs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Faculty</w:t>
      </w:r>
      <w:r w:rsidRPr="00E40AED">
        <w:rPr>
          <w:rFonts w:ascii="Calibri" w:hAnsi="Calibri" w:cs="Arial"/>
          <w:b/>
          <w:i/>
          <w:sz w:val="22"/>
          <w:szCs w:val="22"/>
        </w:rPr>
        <w:t xml:space="preserve"> Role and Responsibilities:</w:t>
      </w:r>
      <w:r w:rsidRPr="00E35B82">
        <w:rPr>
          <w:rFonts w:ascii="Calibri" w:hAnsi="Calibri" w:cs="Arial"/>
          <w:i/>
          <w:sz w:val="22"/>
          <w:szCs w:val="22"/>
        </w:rPr>
        <w:t xml:space="preserve"> </w:t>
      </w:r>
      <w:proofErr w:type="gramStart"/>
      <w:r w:rsidR="00E35B82" w:rsidRPr="00E35B82">
        <w:rPr>
          <w:rFonts w:ascii="Calibri" w:hAnsi="Calibri" w:cs="Arial"/>
          <w:i/>
          <w:sz w:val="22"/>
          <w:szCs w:val="22"/>
        </w:rPr>
        <w:t>the</w:t>
      </w:r>
      <w:proofErr w:type="gramEnd"/>
      <w:r w:rsidR="00E35B82" w:rsidRPr="00E35B82"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>Faculty</w:t>
      </w:r>
      <w:r w:rsidR="00E35B82">
        <w:rPr>
          <w:rFonts w:ascii="Calibri" w:hAnsi="Calibri" w:cs="Arial"/>
          <w:i/>
          <w:sz w:val="22"/>
          <w:szCs w:val="22"/>
        </w:rPr>
        <w:t xml:space="preserve"> team </w:t>
      </w:r>
      <w:r w:rsidRPr="009117BE">
        <w:rPr>
          <w:rFonts w:ascii="Calibri" w:hAnsi="Calibri" w:cs="Arial"/>
          <w:i/>
          <w:sz w:val="22"/>
          <w:szCs w:val="22"/>
        </w:rPr>
        <w:t>will ensure External Examiners</w:t>
      </w:r>
      <w:r w:rsidRPr="00E40AED">
        <w:rPr>
          <w:rFonts w:ascii="Calibri" w:hAnsi="Calibri" w:cs="Arial"/>
          <w:b/>
          <w:i/>
          <w:sz w:val="22"/>
          <w:szCs w:val="22"/>
        </w:rPr>
        <w:t xml:space="preserve"> </w:t>
      </w:r>
    </w:p>
    <w:p w14:paraId="4D9EB3B6" w14:textId="77777777" w:rsidR="00FC6892" w:rsidRPr="00545ED7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Palatino-Roman"/>
          <w:sz w:val="22"/>
          <w:szCs w:val="22"/>
        </w:rPr>
        <w:t>U</w:t>
      </w:r>
      <w:r w:rsidRPr="00545ED7">
        <w:rPr>
          <w:rFonts w:ascii="Calibri" w:hAnsi="Calibri" w:cs="Palatino-Roman"/>
          <w:sz w:val="22"/>
          <w:szCs w:val="22"/>
        </w:rPr>
        <w:t>nderstand how they will be given adequate opportunity to hold meetings with internal markers and students.</w:t>
      </w:r>
    </w:p>
    <w:p w14:paraId="5C612109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Are s</w:t>
      </w:r>
      <w:r w:rsidRPr="001D3976">
        <w:rPr>
          <w:rFonts w:ascii="Calibri" w:hAnsi="Calibri" w:cs="Arial"/>
          <w:sz w:val="22"/>
          <w:szCs w:val="20"/>
        </w:rPr>
        <w:t>ent copies of programme and module handbooks</w:t>
      </w:r>
      <w:r>
        <w:rPr>
          <w:rFonts w:ascii="Calibri" w:hAnsi="Calibri" w:cs="Arial"/>
          <w:sz w:val="22"/>
          <w:szCs w:val="20"/>
        </w:rPr>
        <w:t xml:space="preserve"> (including assessments tasks/ briefs) at the start of each academic year</w:t>
      </w:r>
    </w:p>
    <w:p w14:paraId="153D40E5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Are p</w:t>
      </w:r>
      <w:r w:rsidRPr="001D3976">
        <w:rPr>
          <w:rFonts w:ascii="Calibri" w:hAnsi="Calibri" w:cs="Arial"/>
          <w:sz w:val="22"/>
          <w:szCs w:val="20"/>
        </w:rPr>
        <w:t>rovided with marking schemes/ criteria</w:t>
      </w:r>
    </w:p>
    <w:p w14:paraId="69EF56DF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/>
          <w:sz w:val="22"/>
        </w:rPr>
        <w:t>Are s</w:t>
      </w:r>
      <w:r w:rsidRPr="001D3976">
        <w:rPr>
          <w:rFonts w:ascii="Calibri" w:hAnsi="Calibri"/>
          <w:sz w:val="22"/>
        </w:rPr>
        <w:t>ent a copy of any external PSRB accreditation (if applicable)</w:t>
      </w:r>
    </w:p>
    <w:p w14:paraId="1DE4A65F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/>
          <w:sz w:val="22"/>
        </w:rPr>
        <w:t>Are p</w:t>
      </w:r>
      <w:r w:rsidRPr="001D3976">
        <w:rPr>
          <w:rFonts w:ascii="Calibri" w:hAnsi="Calibri"/>
          <w:sz w:val="22"/>
        </w:rPr>
        <w:t>rovided with dates for forthcoming examination and assessment deadlines and dates for boards of examiners meetings</w:t>
      </w:r>
    </w:p>
    <w:p w14:paraId="67CF3991" w14:textId="77777777" w:rsidR="00FC6892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 xml:space="preserve">Have agreed arrangements for the </w:t>
      </w:r>
      <w:r w:rsidRPr="001D3976">
        <w:rPr>
          <w:rFonts w:ascii="Calibri" w:hAnsi="Calibri" w:cs="Arial"/>
          <w:sz w:val="22"/>
          <w:szCs w:val="20"/>
        </w:rPr>
        <w:t xml:space="preserve"> receipt and return of student assessment</w:t>
      </w:r>
      <w:r>
        <w:rPr>
          <w:rFonts w:ascii="Calibri" w:hAnsi="Calibri" w:cs="Arial"/>
          <w:sz w:val="22"/>
          <w:szCs w:val="20"/>
        </w:rPr>
        <w:t xml:space="preserve"> </w:t>
      </w:r>
    </w:p>
    <w:p w14:paraId="13E04C37" w14:textId="77777777" w:rsidR="00FC6892" w:rsidRPr="001D3976" w:rsidRDefault="00FC6892" w:rsidP="00C45CA3">
      <w:pPr>
        <w:numPr>
          <w:ilvl w:val="0"/>
          <w:numId w:val="2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Are consulted when proposed changes to assessments are planned</w:t>
      </w:r>
    </w:p>
    <w:p w14:paraId="1ED899F9" w14:textId="77777777" w:rsidR="00FC6892" w:rsidRPr="00E40AED" w:rsidRDefault="00FC6892" w:rsidP="00C45CA3">
      <w:pPr>
        <w:tabs>
          <w:tab w:val="num" w:pos="-360"/>
        </w:tabs>
        <w:spacing w:before="100" w:beforeAutospacing="1" w:after="100" w:afterAutospacing="1"/>
        <w:ind w:left="426" w:hanging="474"/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HE Quality Officer</w:t>
      </w:r>
      <w:r w:rsidRPr="00E40AED">
        <w:rPr>
          <w:rFonts w:ascii="Calibri" w:hAnsi="Calibri" w:cs="Arial"/>
          <w:b/>
          <w:i/>
          <w:sz w:val="22"/>
          <w:szCs w:val="22"/>
        </w:rPr>
        <w:t xml:space="preserve"> Role and Responsibilities</w:t>
      </w:r>
      <w:r>
        <w:rPr>
          <w:rFonts w:ascii="Calibri" w:hAnsi="Calibri" w:cs="Arial"/>
          <w:b/>
          <w:i/>
          <w:sz w:val="22"/>
          <w:szCs w:val="22"/>
        </w:rPr>
        <w:t xml:space="preserve">: </w:t>
      </w:r>
      <w:r w:rsidRPr="009117BE">
        <w:rPr>
          <w:rFonts w:ascii="Calibri" w:hAnsi="Calibri" w:cs="Arial"/>
          <w:i/>
          <w:sz w:val="22"/>
          <w:szCs w:val="22"/>
        </w:rPr>
        <w:t xml:space="preserve">the HE </w:t>
      </w:r>
      <w:r>
        <w:rPr>
          <w:rFonts w:ascii="Calibri" w:hAnsi="Calibri" w:cs="Arial"/>
          <w:i/>
          <w:sz w:val="22"/>
          <w:szCs w:val="22"/>
        </w:rPr>
        <w:t>Quality Officer</w:t>
      </w:r>
      <w:r w:rsidRPr="009117BE">
        <w:rPr>
          <w:rFonts w:ascii="Calibri" w:hAnsi="Calibri" w:cs="Arial"/>
          <w:i/>
          <w:sz w:val="22"/>
          <w:szCs w:val="22"/>
        </w:rPr>
        <w:t xml:space="preserve"> must</w:t>
      </w:r>
    </w:p>
    <w:p w14:paraId="76979D93" w14:textId="77777777" w:rsidR="00FC6892" w:rsidRPr="00FC6892" w:rsidRDefault="00FC6892" w:rsidP="00C45CA3">
      <w:pPr>
        <w:numPr>
          <w:ilvl w:val="0"/>
          <w:numId w:val="6"/>
        </w:numPr>
        <w:tabs>
          <w:tab w:val="clear" w:pos="108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Arial"/>
          <w:sz w:val="22"/>
          <w:szCs w:val="20"/>
        </w:rPr>
      </w:pPr>
      <w:r w:rsidRPr="00FC6892">
        <w:rPr>
          <w:rFonts w:ascii="Calibri" w:hAnsi="Calibri" w:cs="Arial"/>
          <w:sz w:val="22"/>
          <w:szCs w:val="20"/>
        </w:rPr>
        <w:t>Ensure newly appointed External Examiners receive a formal letter of appointment, confirming the terms of the appointment and making it clear to whom in the institution he/she is responsible</w:t>
      </w:r>
    </w:p>
    <w:p w14:paraId="3185127B" w14:textId="16620521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Arial"/>
          <w:sz w:val="22"/>
          <w:szCs w:val="20"/>
        </w:rPr>
        <w:t>Ensure that, once appointed, external examiners are provided with sufficient information and</w:t>
      </w:r>
      <w:r w:rsidRPr="00FC6892">
        <w:rPr>
          <w:rFonts w:ascii="Calibri" w:hAnsi="Calibri" w:cs="Palatino-Roman"/>
          <w:sz w:val="22"/>
          <w:szCs w:val="22"/>
        </w:rPr>
        <w:t xml:space="preserve"> support to enable them to carry out their responsibilities effectively.  This means ensuring that external examiners are properly prepared by the </w:t>
      </w:r>
      <w:r w:rsidR="00E35B82">
        <w:rPr>
          <w:rFonts w:ascii="Calibri" w:hAnsi="Calibri" w:cs="Palatino-Roman"/>
          <w:sz w:val="22"/>
          <w:szCs w:val="22"/>
        </w:rPr>
        <w:t>TEC Partnership</w:t>
      </w:r>
      <w:r w:rsidRPr="00FC6892">
        <w:rPr>
          <w:rFonts w:ascii="Calibri" w:hAnsi="Calibri" w:cs="Palatino-Roman"/>
          <w:sz w:val="22"/>
          <w:szCs w:val="22"/>
        </w:rPr>
        <w:t xml:space="preserve"> to ensure they understand and can fulfil their responsibilities. </w:t>
      </w:r>
    </w:p>
    <w:p w14:paraId="5922B8BF" w14:textId="5DB049FF" w:rsidR="00FC6892" w:rsidRPr="00FC6892" w:rsidRDefault="00FC6892" w:rsidP="00C45CA3">
      <w:pPr>
        <w:numPr>
          <w:ilvl w:val="0"/>
          <w:numId w:val="6"/>
        </w:numPr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Palatino-Roman"/>
          <w:sz w:val="22"/>
          <w:szCs w:val="22"/>
        </w:rPr>
        <w:t xml:space="preserve">Keep a central register of appointments and periods of tenure in order to ensure that the </w:t>
      </w:r>
      <w:r w:rsidR="00E35B82">
        <w:rPr>
          <w:rFonts w:ascii="Calibri" w:hAnsi="Calibri" w:cs="Palatino-Roman"/>
          <w:sz w:val="22"/>
          <w:szCs w:val="22"/>
        </w:rPr>
        <w:t>TEC Partnership</w:t>
      </w:r>
      <w:r w:rsidRPr="00FC6892">
        <w:rPr>
          <w:rFonts w:ascii="Calibri" w:hAnsi="Calibri" w:cs="Palatino-Roman"/>
          <w:sz w:val="22"/>
          <w:szCs w:val="22"/>
        </w:rPr>
        <w:t xml:space="preserve"> avoids inadvertent conflicts of interest and ensures the proper rotation of external examiners</w:t>
      </w:r>
    </w:p>
    <w:p w14:paraId="24165CD7" w14:textId="77777777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Palatino-Roman"/>
          <w:sz w:val="22"/>
          <w:szCs w:val="22"/>
        </w:rPr>
        <w:t>Provide support as required and regular updates on assessment policy and procedures, where appropriate</w:t>
      </w:r>
    </w:p>
    <w:p w14:paraId="08F47BB3" w14:textId="77777777" w:rsid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FC6892">
        <w:rPr>
          <w:rFonts w:ascii="Calibri" w:hAnsi="Calibri" w:cs="Palatino-Roman"/>
          <w:sz w:val="22"/>
          <w:szCs w:val="22"/>
        </w:rPr>
        <w:lastRenderedPageBreak/>
        <w:t>Maintain ov</w:t>
      </w:r>
      <w:r w:rsidRPr="002C24C5">
        <w:rPr>
          <w:rFonts w:ascii="Calibri" w:hAnsi="Calibri" w:cs="Palatino-Roman"/>
          <w:sz w:val="22"/>
          <w:szCs w:val="22"/>
        </w:rPr>
        <w:t>ersight of the need for an appropriate match between the numbers of external examiners and the quantity of assessed material being examined</w:t>
      </w:r>
    </w:p>
    <w:p w14:paraId="263A4278" w14:textId="77777777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2C24C5">
        <w:rPr>
          <w:rFonts w:ascii="Calibri" w:hAnsi="Calibri" w:cs="Palatino-Roman"/>
          <w:sz w:val="22"/>
          <w:szCs w:val="22"/>
        </w:rPr>
        <w:t>Maintain oversight of the need for more than one external examiner where programmes are academically diverse</w:t>
      </w:r>
    </w:p>
    <w:p w14:paraId="2414B12A" w14:textId="57766A91" w:rsidR="00FC6892" w:rsidRPr="00FC6892" w:rsidRDefault="00FC6892" w:rsidP="00C45CA3">
      <w:pPr>
        <w:numPr>
          <w:ilvl w:val="0"/>
          <w:numId w:val="6"/>
        </w:numPr>
        <w:tabs>
          <w:tab w:val="clear" w:pos="1080"/>
          <w:tab w:val="num" w:pos="-360"/>
        </w:tabs>
        <w:autoSpaceDE w:val="0"/>
        <w:autoSpaceDN w:val="0"/>
        <w:adjustRightInd w:val="0"/>
        <w:ind w:left="426" w:hanging="474"/>
        <w:jc w:val="both"/>
        <w:rPr>
          <w:rFonts w:ascii="Calibri" w:hAnsi="Calibri" w:cs="Palatino-Roman"/>
          <w:sz w:val="22"/>
          <w:szCs w:val="22"/>
        </w:rPr>
      </w:pPr>
      <w:r w:rsidRPr="002C24C5">
        <w:rPr>
          <w:rFonts w:ascii="Calibri" w:hAnsi="Calibri" w:cs="Palatino-Roman"/>
          <w:sz w:val="22"/>
          <w:szCs w:val="22"/>
        </w:rPr>
        <w:t xml:space="preserve">Inform in writing to the External </w:t>
      </w:r>
      <w:r>
        <w:rPr>
          <w:rFonts w:ascii="Calibri" w:hAnsi="Calibri" w:cs="Palatino-Roman"/>
          <w:sz w:val="22"/>
          <w:szCs w:val="22"/>
        </w:rPr>
        <w:t>E</w:t>
      </w:r>
      <w:r w:rsidRPr="002C24C5">
        <w:rPr>
          <w:rFonts w:ascii="Calibri" w:hAnsi="Calibri" w:cs="Palatino-Roman"/>
          <w:sz w:val="22"/>
          <w:szCs w:val="22"/>
        </w:rPr>
        <w:t xml:space="preserve">xaminer the </w:t>
      </w:r>
      <w:r w:rsidR="00E35B82">
        <w:rPr>
          <w:rFonts w:ascii="Calibri" w:hAnsi="Calibri" w:cs="Palatino-Roman"/>
          <w:sz w:val="22"/>
          <w:szCs w:val="22"/>
        </w:rPr>
        <w:t>TEC Partnership</w:t>
      </w:r>
      <w:r w:rsidRPr="002C24C5">
        <w:rPr>
          <w:rFonts w:ascii="Calibri" w:hAnsi="Calibri" w:cs="Palatino-Roman"/>
          <w:sz w:val="22"/>
          <w:szCs w:val="22"/>
        </w:rPr>
        <w:t xml:space="preserve">’s intention to terminate the </w:t>
      </w:r>
      <w:r w:rsidRPr="00FC6892">
        <w:rPr>
          <w:rFonts w:ascii="Calibri" w:hAnsi="Calibri" w:cs="Palatino-Roman"/>
          <w:sz w:val="22"/>
          <w:szCs w:val="22"/>
        </w:rPr>
        <w:t xml:space="preserve">appointment for reasons outlined in 8.6 of the Code of Practice Board of Examiners and External Examiners </w:t>
      </w:r>
    </w:p>
    <w:p w14:paraId="48DD5B3E" w14:textId="77777777" w:rsidR="00307D75" w:rsidRDefault="00307D75" w:rsidP="00C45CA3">
      <w:pPr>
        <w:ind w:left="426" w:hanging="295"/>
        <w:jc w:val="both"/>
      </w:pPr>
    </w:p>
    <w:sectPr w:rsidR="00307D75" w:rsidSect="00207E7E">
      <w:headerReference w:type="default" r:id="rId11"/>
      <w:pgSz w:w="11906" w:h="16838"/>
      <w:pgMar w:top="2127" w:right="1440" w:bottom="144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A3A85" w14:textId="77777777" w:rsidR="00420AE8" w:rsidRDefault="00420AE8" w:rsidP="00420AE8">
      <w:r>
        <w:separator/>
      </w:r>
    </w:p>
  </w:endnote>
  <w:endnote w:type="continuationSeparator" w:id="0">
    <w:p w14:paraId="7C20E13C" w14:textId="77777777" w:rsidR="00420AE8" w:rsidRDefault="00420AE8" w:rsidP="0042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a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09DA7" w14:textId="77777777" w:rsidR="00420AE8" w:rsidRDefault="00420AE8" w:rsidP="00420AE8">
      <w:r>
        <w:separator/>
      </w:r>
    </w:p>
  </w:footnote>
  <w:footnote w:type="continuationSeparator" w:id="0">
    <w:p w14:paraId="7AAE8069" w14:textId="77777777" w:rsidR="00420AE8" w:rsidRDefault="00420AE8" w:rsidP="0042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7F6A1" w14:textId="1AF3BA00" w:rsidR="00420AE8" w:rsidRDefault="00207E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34255" wp14:editId="360327A5">
          <wp:simplePos x="0" y="0"/>
          <wp:positionH relativeFrom="column">
            <wp:posOffset>-1905</wp:posOffset>
          </wp:positionH>
          <wp:positionV relativeFrom="paragraph">
            <wp:posOffset>181610</wp:posOffset>
          </wp:positionV>
          <wp:extent cx="3183890" cy="719455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25D002" wp14:editId="3400C7CD">
              <wp:simplePos x="0" y="0"/>
              <wp:positionH relativeFrom="rightMargin">
                <wp:align>left</wp:align>
              </wp:positionH>
              <wp:positionV relativeFrom="paragraph">
                <wp:posOffset>-46990</wp:posOffset>
              </wp:positionV>
              <wp:extent cx="5429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8856E" w14:textId="53B4C488" w:rsidR="00207E7E" w:rsidRPr="00207E7E" w:rsidRDefault="00207E7E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207E7E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HE06K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25D0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.7pt;width:42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20IQIAAB0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" stroked="f">
              <v:textbox style="mso-fit-shape-to-text:t">
                <w:txbxContent>
                  <w:p w14:paraId="47F8856E" w14:textId="53B4C488" w:rsidR="00207E7E" w:rsidRPr="00207E7E" w:rsidRDefault="00207E7E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207E7E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HE06K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77E"/>
    <w:multiLevelType w:val="hybridMultilevel"/>
    <w:tmpl w:val="0C90670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25553"/>
    <w:multiLevelType w:val="hybridMultilevel"/>
    <w:tmpl w:val="0C90670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B5493"/>
    <w:multiLevelType w:val="hybridMultilevel"/>
    <w:tmpl w:val="0C90670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F74C93"/>
    <w:multiLevelType w:val="hybridMultilevel"/>
    <w:tmpl w:val="EFA2D942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47142"/>
    <w:multiLevelType w:val="hybridMultilevel"/>
    <w:tmpl w:val="71C886AE"/>
    <w:lvl w:ilvl="0" w:tplc="9998D1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87F99"/>
    <w:multiLevelType w:val="hybridMultilevel"/>
    <w:tmpl w:val="DDC2F6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92"/>
    <w:rsid w:val="00207E7E"/>
    <w:rsid w:val="00307D75"/>
    <w:rsid w:val="00420AE8"/>
    <w:rsid w:val="00C45CA3"/>
    <w:rsid w:val="00E35B82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6B1A9A"/>
  <w15:chartTrackingRefBased/>
  <w15:docId w15:val="{19B1CB94-B25C-45D5-92DF-39C92D2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E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3" ma:contentTypeDescription="Create a new document." ma:contentTypeScope="" ma:versionID="a373a1398738c487896523240ee010a1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1dae6427f7d6071e0250cf8cd3134315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D33D998D-CF0F-4314-B0FE-0BE8CF67E8AD}">
  <ds:schemaRefs>
    <ds:schemaRef ds:uri="24256e7a-220e-4581-9df8-993e17d1fa64"/>
    <ds:schemaRef ds:uri="5204d055-2a3d-4797-adff-4172fa4a4e55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42A8D4-34AC-4C30-A125-CFFA5FFC1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15682-81AD-4E65-8C0E-813142639243}"/>
</file>

<file path=customXml/itemProps4.xml><?xml version="1.0" encoding="utf-8"?>
<ds:datastoreItem xmlns:ds="http://schemas.openxmlformats.org/officeDocument/2006/customXml" ds:itemID="{FC066927-65A0-48E5-AA92-1B2ECDC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Field</dc:creator>
  <cp:keywords/>
  <dc:description/>
  <cp:lastModifiedBy>Karen Keningale</cp:lastModifiedBy>
  <cp:revision>5</cp:revision>
  <dcterms:created xsi:type="dcterms:W3CDTF">2018-04-12T11:07:00Z</dcterms:created>
  <dcterms:modified xsi:type="dcterms:W3CDTF">2020-12-09T16:09:00Z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4830800</vt:r8>
  </property>
</Properties>
</file>